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rFonts w:ascii="Calibri" w:hAnsi="Calibri"/>
          <w:b/>
          <w:color w:val="111111"/>
          <w:sz w:val="36"/>
        </w:rPr>
        <w:t>COMPENSATION MARKET RESEARCH BRIEF</w:t>
      </w:r>
    </w:p>
    <w:p>
      <w:pPr>
        <w:spacing w:before="0" w:after="140"/>
        <w:pBdr>
          <w:bottom w:val="single" w:sz="8" w:space="1" w:color="2E74B5"/>
        </w:pBdr>
      </w:pPr>
      <w:r>
        <w:rPr>
          <w:rFonts w:ascii="Calibri" w:hAnsi="Calibri"/>
          <w:color w:val="555555"/>
          <w:sz w:val="19"/>
        </w:rPr>
        <w:t>Nathan Walker | Healthcare AI, Enterprise Presales Architecture, Solutions Engineering Leadership | May 26, 2026</w:t>
      </w:r>
    </w:p>
    <w:tbl>
      <w:tblPr>
        <w:tblW w:type="dxa" w:w="9360"/>
        <w:jc w:val="center"/>
        <w:tblLook w:firstColumn="1" w:firstRow="1" w:lastColumn="0" w:lastRow="0" w:noHBand="0" w:noVBand="1" w:val="04A0"/>
        <w:tblInd w:w="120" w:type="dxa"/>
        <w:tblLayout w:type="fixed"/>
      </w:tblPr>
      <w:tblGrid>
        <w:gridCol w:w="9360"/>
      </w:tblGrid>
      <w:tr>
        <w:tc>
          <w:tcPr>
            <w:tcW w:type="dxa" w:w="93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F4F6F9"/>
          </w:tcPr>
          <w:p>
            <w:pPr>
              <w:spacing w:after="0" w:line="252" w:lineRule="auto"/>
            </w:pPr>
            <w:r>
              <w:rPr>
                <w:rFonts w:ascii="Calibri" w:hAnsi="Calibri"/>
                <w:b/>
                <w:color w:val="1F4D78"/>
                <w:sz w:val="21"/>
              </w:rPr>
              <w:t xml:space="preserve">Conclusion: </w:t>
            </w:r>
            <w:r>
              <w:rPr>
                <w:rFonts w:ascii="Calibri" w:hAnsi="Calibri"/>
                <w:color w:val="111111"/>
                <w:sz w:val="20"/>
              </w:rPr>
              <w:t>The defensible market frame is not standard Sales Engineer. The resume maps to Director/Sr. Director or Head of Solutions Engineering when the role includes healthcare AI domain ownership, demo strategy, presales architecture, technical win strategy, and eventual SE hiring authority. A $250K base is supportable for that scope.</w:t>
            </w:r>
          </w:p>
        </w:tc>
      </w:tr>
    </w:tbl>
    <w:p>
      <w:pPr>
        <w:spacing w:before="180" w:after="100" w:line="264" w:lineRule="auto"/>
      </w:pPr>
      <w:r>
        <w:rPr>
          <w:rFonts w:ascii="Calibri" w:hAnsi="Calibri"/>
          <w:b/>
          <w:color w:val="2E74B5"/>
          <w:sz w:val="26"/>
        </w:rPr>
        <w:t>Market Benchmark</w:t>
      </w:r>
    </w:p>
    <w:tbl>
      <w:tblPr>
        <w:tblW w:type="dxa" w:w="9360"/>
        <w:jc w:val="center"/>
        <w:tblLook w:firstColumn="1" w:firstRow="1" w:lastColumn="0" w:lastRow="0" w:noHBand="0" w:noVBand="1" w:val="04A0"/>
        <w:tblInd w:w="120" w:type="dxa"/>
        <w:tblLayout w:type="fixed"/>
      </w:tblPr>
      <w:tblGrid>
        <w:gridCol w:w="2550"/>
        <w:gridCol w:w="2130"/>
        <w:gridCol w:w="4680"/>
      </w:tblGrid>
      <w:tr>
        <w:tc>
          <w:tcPr>
            <w:tcW w:type="dxa" w:w="2550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/>
                <w:color w:val="1F4D78"/>
                <w:sz w:val="18"/>
              </w:rPr>
              <w:t>Comparable role frame</w:t>
            </w:r>
          </w:p>
        </w:tc>
        <w:tc>
          <w:tcPr>
            <w:tcW w:type="dxa" w:w="2130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/>
                <w:color w:val="1F4D78"/>
                <w:sz w:val="18"/>
              </w:rPr>
              <w:t>Current cash range</w:t>
            </w:r>
          </w:p>
        </w:tc>
        <w:tc>
          <w:tcPr>
            <w:tcW w:type="dxa" w:w="4680"/>
            <w:shd w:fill="E8EEF5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/>
                <w:color w:val="1F4D78"/>
                <w:sz w:val="18"/>
              </w:rPr>
              <w:t>Implication</w:t>
            </w:r>
          </w:p>
        </w:tc>
      </w:tr>
      <w:tr>
        <w:tc>
          <w:tcPr>
            <w:tcW w:type="dxa" w:w="25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Generic SE market</w:t>
            </w:r>
          </w:p>
        </w:tc>
        <w:tc>
          <w:tcPr>
            <w:tcW w:type="dxa" w:w="213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$145K base / $200K OTE median</w:t>
            </w:r>
          </w:p>
        </w:tc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Useful floor only; this understates senior healthcare AI leadership value.</w:t>
            </w:r>
          </w:p>
        </w:tc>
      </w:tr>
      <w:tr>
        <w:tc>
          <w:tcPr>
            <w:tcW w:type="dxa" w:w="25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Principal / strategic AI SE</w:t>
            </w:r>
          </w:p>
        </w:tc>
        <w:tc>
          <w:tcPr>
            <w:tcW w:type="dxa" w:w="213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$200K-$285K+ OTE</w:t>
            </w:r>
          </w:p>
        </w:tc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Applies if scoped as senior IC demo and technical win ownership.</w:t>
            </w:r>
          </w:p>
        </w:tc>
      </w:tr>
      <w:tr>
        <w:tc>
          <w:tcPr>
            <w:tcW w:type="dxa" w:w="25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Director / Sr. Manager SE</w:t>
            </w:r>
          </w:p>
        </w:tc>
        <w:tc>
          <w:tcPr>
            <w:tcW w:type="dxa" w:w="213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$275K-$375K OTE</w:t>
            </w:r>
          </w:p>
        </w:tc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Best fit if owning demo strategy, presales architecture, process, and strategic accounts.</w:t>
            </w:r>
          </w:p>
        </w:tc>
      </w:tr>
      <w:tr>
        <w:tc>
          <w:tcPr>
            <w:tcW w:type="dxa" w:w="255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Head / VP Solutions Engineering</w:t>
            </w:r>
          </w:p>
        </w:tc>
        <w:tc>
          <w:tcPr>
            <w:tcW w:type="dxa" w:w="213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$340K-$475K+ OTE</w:t>
            </w:r>
          </w:p>
        </w:tc>
        <w:tc>
          <w:tcPr>
            <w:tcW w:type="dxa" w:w="46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Fit when role includes org design, hiring path, budget, and executive-level GTM influence.</w:t>
            </w:r>
          </w:p>
        </w:tc>
      </w:tr>
    </w:tbl>
    <w:p>
      <w:pPr>
        <w:spacing w:before="180" w:after="100" w:line="264" w:lineRule="auto"/>
      </w:pPr>
      <w:r>
        <w:rPr>
          <w:rFonts w:ascii="Calibri" w:hAnsi="Calibri"/>
          <w:b/>
          <w:color w:val="2E74B5"/>
          <w:sz w:val="26"/>
        </w:rPr>
        <w:t>Evidence Used</w:t>
      </w:r>
    </w:p>
    <w:p>
      <w:pPr>
        <w:spacing w:before="0" w:after="100" w:line="259" w:lineRule="auto"/>
      </w:pPr>
      <w:r>
        <w:rPr>
          <w:rFonts w:ascii="Calibri" w:hAnsi="Calibri"/>
          <w:b/>
          <w:color w:val="1F4D78"/>
          <w:sz w:val="20"/>
        </w:rPr>
        <w:t>BLS</w:t>
      </w:r>
      <w:r>
        <w:rPr>
          <w:rFonts w:ascii="Calibri" w:hAnsi="Calibri"/>
          <w:color w:val="111111"/>
          <w:sz w:val="20"/>
        </w:rPr>
        <w:t xml:space="preserve"> reports generic Sales Engineers at $121,520 median pay, which is below the relevant senior-tech peer set. </w:t>
      </w:r>
      <w:r>
        <w:rPr>
          <w:rFonts w:ascii="Calibri" w:hAnsi="Calibri"/>
          <w:b/>
          <w:color w:val="1F4D78"/>
          <w:sz w:val="20"/>
        </w:rPr>
        <w:t>Consensus 2026</w:t>
      </w:r>
      <w:r>
        <w:rPr>
          <w:rFonts w:ascii="Calibri" w:hAnsi="Calibri"/>
          <w:color w:val="111111"/>
          <w:sz w:val="20"/>
        </w:rPr>
        <w:t xml:space="preserve"> reports presales median base of $143,750 and median OTE near $192,750. </w:t>
      </w:r>
      <w:r>
        <w:rPr>
          <w:rFonts w:ascii="Calibri" w:hAnsi="Calibri"/>
          <w:b/>
          <w:color w:val="1F4D78"/>
          <w:sz w:val="20"/>
        </w:rPr>
        <w:t>RepVue Jan. 2026</w:t>
      </w:r>
      <w:r>
        <w:rPr>
          <w:rFonts w:ascii="Calibri" w:hAnsi="Calibri"/>
          <w:color w:val="111111"/>
          <w:sz w:val="20"/>
        </w:rPr>
        <w:t xml:space="preserve"> reports Sales Engineer median base of $145K, median OTE of $200K, and top performer potential around $327K. </w:t>
      </w:r>
      <w:r>
        <w:rPr>
          <w:rFonts w:ascii="Calibri" w:hAnsi="Calibri"/>
          <w:b/>
          <w:color w:val="1F4D78"/>
          <w:sz w:val="20"/>
        </w:rPr>
        <w:t>Current role postings</w:t>
      </w:r>
      <w:r>
        <w:rPr>
          <w:rFonts w:ascii="Calibri" w:hAnsi="Calibri"/>
          <w:color w:val="111111"/>
          <w:sz w:val="20"/>
        </w:rPr>
        <w:t xml:space="preserve"> show the higher peer set: Observe.AI Principal SE at $255K-$265K OTE, Automation Anywhere Healthcare Senior SE at $200K-$235K OTE, LaunchDarkly Director SE at $223K-$309K OTE, Docker Director SE at $258K-$323K OTE, Okta Key Accounts Director SE at $327K-$450K OTE, and Gong Global Head of Solutions Engineering at $340K-$357K OTE plus broader total rewards.</w:t>
      </w:r>
    </w:p>
    <w:p>
      <w:pPr>
        <w:spacing w:before="180" w:after="100" w:line="264" w:lineRule="auto"/>
      </w:pPr>
      <w:r>
        <w:rPr>
          <w:rFonts w:ascii="Calibri" w:hAnsi="Calibri"/>
          <w:b/>
          <w:color w:val="2E74B5"/>
          <w:sz w:val="26"/>
        </w:rPr>
        <w:t>Nate-Specific Positioning</w:t>
      </w:r>
    </w:p>
    <w:p>
      <w:pPr>
        <w:spacing w:before="0" w:after="100" w:line="259" w:lineRule="auto"/>
      </w:pPr>
      <w:r>
        <w:rPr>
          <w:rFonts w:ascii="Calibri" w:hAnsi="Calibri"/>
          <w:color w:val="111111"/>
          <w:sz w:val="20"/>
        </w:rPr>
        <w:t xml:space="preserve">The premium is justified by documented scope: </w:t>
      </w:r>
      <w:r>
        <w:rPr>
          <w:rFonts w:ascii="Calibri" w:hAnsi="Calibri"/>
          <w:color w:val="111111"/>
          <w:sz w:val="20"/>
        </w:rPr>
        <w:t>$50M+ enterprise AI revenue influenced; 20+ healthcare accounts; 100+ deployments across Genesys, NICE, Five9, AWS Connect, EHR/CRM/API ecosystems; healthcare interoperability exposure across Epic, Cerner, Meditech, FHIR, HL7; HIPAA/HITECH program design; and building NASA from 3 engineers into a global ~50-engineer solution architecture practice.</w:t>
      </w:r>
    </w:p>
    <w:p>
      <w:pPr>
        <w:spacing w:before="180" w:after="100" w:line="264" w:lineRule="auto"/>
      </w:pPr>
      <w:r>
        <w:rPr>
          <w:rFonts w:ascii="Calibri" w:hAnsi="Calibri"/>
          <w:b/>
          <w:color w:val="2E74B5"/>
          <w:sz w:val="26"/>
        </w:rPr>
        <w:t>Negotiation Anchor</w:t>
      </w:r>
    </w:p>
    <w:tbl>
      <w:tblPr>
        <w:tblW w:type="dxa" w:w="9360"/>
        <w:jc w:val="center"/>
        <w:tblLook w:firstColumn="1" w:firstRow="1" w:lastColumn="0" w:lastRow="0" w:noHBand="0" w:noVBand="1" w:val="04A0"/>
        <w:tblInd w:w="120" w:type="dxa"/>
        <w:tblLayout w:type="fixed"/>
      </w:tblPr>
      <w:tblGrid>
        <w:gridCol w:w="2080"/>
        <w:gridCol w:w="7280"/>
      </w:tblGrid>
      <w:tr>
        <w:tc>
          <w:tcPr>
            <w:tcW w:type="dxa" w:w="2080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/>
                <w:color w:val="1F4D78"/>
                <w:sz w:val="17"/>
              </w:rPr>
              <w:t>Primary ask</w:t>
            </w:r>
          </w:p>
        </w:tc>
        <w:tc>
          <w:tcPr>
            <w:tcW w:type="dxa" w:w="72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$250K base; $75K-$125K target variable; $325K-$375K OTE; accelerators above target; equity or long-term incentive.</w:t>
            </w:r>
          </w:p>
        </w:tc>
      </w:tr>
      <w:tr>
        <w:tc>
          <w:tcPr>
            <w:tcW w:type="dxa" w:w="2080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/>
                <w:color w:val="1F4D78"/>
                <w:sz w:val="17"/>
              </w:rPr>
              <w:t>Minimum acceptable frame</w:t>
            </w:r>
          </w:p>
        </w:tc>
        <w:tc>
          <w:tcPr>
            <w:tcW w:type="dxa" w:w="72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$225K-$240K base only if paired with $100K-$150K target variable, first-year draw/guarantee, written title/reporting line, and equity.</w:t>
            </w:r>
          </w:p>
        </w:tc>
      </w:tr>
      <w:tr>
        <w:tc>
          <w:tcPr>
            <w:tcW w:type="dxa" w:w="2080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/>
                <w:color w:val="1F4D78"/>
                <w:sz w:val="17"/>
              </w:rPr>
              <w:t>Scope requirement</w:t>
            </w:r>
          </w:p>
        </w:tc>
        <w:tc>
          <w:tcPr>
            <w:tcW w:type="dxa" w:w="72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Ownership of demo strategy, demo buildout, presales architecture, supporting infrastructure, healthcare AI motion, tooling budget, and hiring path.</w:t>
            </w:r>
          </w:p>
        </w:tc>
      </w:tr>
      <w:tr>
        <w:tc>
          <w:tcPr>
            <w:tcW w:type="dxa" w:w="2080"/>
            <w:shd w:fill="F2F4F7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/>
                <w:color w:val="1F4D78"/>
                <w:sz w:val="17"/>
              </w:rPr>
              <w:t>Message</w:t>
            </w:r>
          </w:p>
        </w:tc>
        <w:tc>
          <w:tcPr>
            <w:tcW w:type="dxa" w:w="72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40" w:line="252" w:lineRule="auto"/>
            </w:pPr>
            <w:r>
              <w:rPr>
                <w:rFonts w:ascii="Calibri" w:hAnsi="Calibri"/>
                <w:b w:val="0"/>
                <w:color w:val="111111"/>
                <w:sz w:val="17"/>
              </w:rPr>
              <w:t>This is a leadership/builder role. If it is priced as a conventional SE seat, the scope should be reduced accordingly.</w:t>
            </w:r>
          </w:p>
        </w:tc>
      </w:tr>
    </w:tbl>
    <w:p>
      <w:pPr>
        <w:spacing w:before="120" w:after="0" w:line="240" w:lineRule="auto"/>
      </w:pPr>
      <w:r>
        <w:rPr>
          <w:rFonts w:ascii="Calibri" w:hAnsi="Calibri"/>
          <w:b/>
          <w:color w:val="555555"/>
          <w:sz w:val="15"/>
        </w:rPr>
        <w:t xml:space="preserve">Sources: </w:t>
      </w:r>
      <w:r>
        <w:rPr>
          <w:rFonts w:ascii="Calibri" w:hAnsi="Calibri"/>
          <w:color w:val="555555"/>
          <w:sz w:val="15"/>
        </w:rPr>
        <w:t>BLS Occupational Outlook Handbook; Consensus 2026 Sales Engineering Compensation &amp; Workload Report; RepVue Sales Engineer Salary, Jan. 2026; public/archived postings from Observe.AI, Automation Anywhere, LaunchDarkly, Docker, Okta, Gong, and IntelePeer/RepVue.</w:t>
      </w:r>
    </w:p>
    <w:sectPr w:rsidR="00FC693F" w:rsidRPr="0006063C" w:rsidSect="0003461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