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Calibri" w:cs="Calibri" w:eastAsia="Calibri" w:hAnsi="Calibri"/>
          <w:b/>
          <w:bCs/>
          <w:sz w:val="36"/>
          <w:szCs w:val="36"/>
        </w:rPr>
        <w:t xml:space="preserve">NATHAN WALKER</w:t>
      </w:r>
    </w:p>
    <w:p>
      <w:pPr>
        <w:spacing w:after="60" w:before="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Austin, TX  •  512.781.2507  •  </w:t>
      </w:r>
      <w:hyperlink w:history="1" r:id="rIdnbqvcqvfaqne_xsochgly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nwalker85@gmail.com</w:t>
        </w:r>
      </w:hyperlink>
      <w:r>
        <w:rPr>
          <w:rFonts w:ascii="Calibri" w:cs="Calibri" w:eastAsia="Calibri" w:hAnsi="Calibri"/>
          <w:sz w:val="20"/>
          <w:szCs w:val="20"/>
        </w:rPr>
        <w:t xml:space="preserve">  •  </w:t>
      </w:r>
      <w:hyperlink w:history="1" r:id="rIdkisgkbtrmsby5-x4konrx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linkedin.com/in/nwalker85</w:t>
        </w:r>
      </w:hyperlink>
      <w:r>
        <w:rPr>
          <w:rFonts w:ascii="Calibri" w:cs="Calibri" w:eastAsia="Calibri" w:hAnsi="Calibri"/>
          <w:sz w:val="20"/>
          <w:szCs w:val="20"/>
        </w:rPr>
        <w:t xml:space="preserve">  •  </w:t>
      </w:r>
      <w:hyperlink w:history="1" r:id="rIdqtklbzaq94zmmj9hjeand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github.com/nwalker85</w:t>
        </w:r>
      </w:hyperlink>
      <w:r>
        <w:rPr>
          <w:rFonts w:ascii="Calibri" w:cs="Calibri" w:eastAsia="Calibri" w:hAnsi="Calibri"/>
          <w:sz w:val="20"/>
          <w:szCs w:val="20"/>
        </w:rPr>
        <w:t xml:space="preserve">  •  </w:t>
      </w:r>
      <w:hyperlink w:history="1" r:id="rIdbgsgtccrsuv64ubnx91lo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nwalker.cc</w:t>
        </w:r>
      </w:hyperlink>
    </w:p>
    <w:p>
      <w:pPr>
        <w:spacing w:after="120" w:before="0"/>
        <w:jc w:val="center"/>
      </w:pPr>
      <w:r>
        <w:rPr>
          <w:rFonts w:ascii="Calibri" w:cs="Calibri" w:eastAsia="Calibri" w:hAnsi="Calibri"/>
          <w:i/>
          <w:iCs/>
          <w:color w:val="404040"/>
          <w:sz w:val="20"/>
          <w:szCs w:val="20"/>
        </w:rPr>
        <w:t xml:space="preserve">Healthcare AI  |  Global Sales Engineering Leadership  |  Enterprise CCaaS &amp; Agentic AI</w:t>
      </w:r>
    </w:p>
    <w:p>
      <w:pPr>
        <w:spacing w:after="100" w:before="0" w:line="246"/>
        <w:jc w:val="both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Sales engineering leader</w:t>
      </w:r>
      <w:r>
        <w:rPr>
          <w:rFonts w:ascii="Calibri" w:cs="Calibri" w:eastAsia="Calibri" w:hAnsi="Calibri"/>
          <w:sz w:val="20"/>
          <w:szCs w:val="20"/>
        </w:rPr>
        <w:t xml:space="preserve"> who built healthcare AI practices from inception and scaled global SA/SE organizations through founding-stage growth and post-acquisition consolidation.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$50M+ enterprise AI revenue influenced across 20+ healthcare accounts</w:t>
      </w:r>
      <w:r>
        <w:rPr>
          <w:rFonts w:ascii="Calibri" w:cs="Calibri" w:eastAsia="Calibri" w:hAnsi="Calibri"/>
          <w:sz w:val="20"/>
          <w:szCs w:val="20"/>
        </w:rPr>
        <w:t xml:space="preserve"> — payer, provider/IDN, DSO/specialty group, RCM, ambulatory, vision, home health. Founded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NASA (Network of Amelia Solution Architects)</w:t>
      </w:r>
      <w:r>
        <w:rPr>
          <w:rFonts w:ascii="Calibri" w:cs="Calibri" w:eastAsia="Calibri" w:hAnsi="Calibri"/>
          <w:sz w:val="20"/>
          <w:szCs w:val="20"/>
        </w:rPr>
        <w:t xml:space="preserve">, scaling 3 → ~50 engineers across four business units and four regions post-acquisition. Hands-on across the healthcare interoperability stack (Epic, Cerner, Meditech; FHIR/HL7) and HIPAA/HITECH program design. Builder-operator who architects at the whiteboard with CIO/CMIO/CXO stakeholders, builds the evaluation frameworks that win deals, and develops the people and processes that scale a technical sales motion from founder-led to institutional.</w:t>
      </w:r>
    </w:p>
    <w:p>
      <w:pPr>
        <w:pBdr>
          <w:bottom w:val="single" w:color="1F4E79" w:sz="8" w:space="2"/>
        </w:pBdr>
        <w:spacing w:after="40" w:before="100"/>
      </w:pPr>
      <w:r>
        <w:rPr>
          <w:rFonts w:ascii="Calibri" w:cs="Calibri" w:eastAsia="Calibri" w:hAnsi="Calibri"/>
          <w:b/>
          <w:bCs/>
          <w:color w:val="1F4E79"/>
          <w:spacing w:val="20"/>
          <w:sz w:val="22"/>
          <w:szCs w:val="22"/>
        </w:rPr>
        <w:t xml:space="preserve">CORE COMPETENCIES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Healthcare Interoperability: </w:t>
      </w:r>
      <w:r>
        <w:rPr>
          <w:rFonts w:ascii="Calibri" w:cs="Calibri" w:eastAsia="Calibri" w:hAnsi="Calibri"/>
          <w:sz w:val="20"/>
          <w:szCs w:val="20"/>
        </w:rPr>
        <w:t xml:space="preserve">Epic, Cerner, Meditech integration; FHIR (R4, SMART on FHIR); HL7 v2.x; HIPAA/HITECH program design; CIO/CMIO/CXO engagement across payer, provider/IDN, DSO/specialty, RCM, ambulatory, vision, home health.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SE Leadership &amp; Org Building: </w:t>
      </w:r>
      <w:r>
        <w:rPr>
          <w:rFonts w:ascii="Calibri" w:cs="Calibri" w:eastAsia="Calibri" w:hAnsi="Calibri"/>
          <w:sz w:val="20"/>
          <w:szCs w:val="20"/>
        </w:rPr>
        <w:t xml:space="preserve">Global presales practice design; hiring, onboarding, enablement, certification, Communities of Practice; utilization metrics; founder-led → institutional scale.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Enterprise GTM &amp; Technical Win: </w:t>
      </w:r>
      <w:r>
        <w:rPr>
          <w:rFonts w:ascii="Calibri" w:cs="Calibri" w:eastAsia="Calibri" w:hAnsi="Calibri"/>
          <w:sz w:val="20"/>
          <w:szCs w:val="20"/>
        </w:rPr>
        <w:t xml:space="preserve">MEDDPICC, Challenger, Solution Selling; competitive positioning; C-suite engagement; analyst relations; RFP/SOW ownership; POC governance.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AI/ML &amp; Agents: </w:t>
      </w:r>
      <w:r>
        <w:rPr>
          <w:rFonts w:ascii="Calibri" w:cs="Calibri" w:eastAsia="Calibri" w:hAnsi="Calibri"/>
          <w:sz w:val="20"/>
          <w:szCs w:val="20"/>
        </w:rPr>
        <w:t xml:space="preserve">Azure AI Foundry / Azure OpenAI; LangGraph/LangChain agent orchestration; Langfuse/LangSmith observability; Model Context Protocol (MCP)–mediated agent-to-data access over vector-backed stores (pgvector, DiskANN-class indexing); multi-agent orchestration (supervisor, NLU, integration, compliance); low-latency real-time voice agent orchestration; RAG; Judge LLM.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Governance &amp; Compliance: </w:t>
      </w:r>
      <w:r>
        <w:rPr>
          <w:rFonts w:ascii="Calibri" w:cs="Calibri" w:eastAsia="Calibri" w:hAnsi="Calibri"/>
          <w:sz w:val="20"/>
          <w:szCs w:val="20"/>
        </w:rPr>
        <w:t xml:space="preserve">SOC 2, HIPAA/HITECH, FedRAMP, DoD IL4, ISO 27001 &amp; 42001, PCI DSS, GDPR, EU AI Act, NIST AI RMF, CCPA/CPRA, BIPA, COAIA.</w:t>
      </w:r>
    </w:p>
    <w:p>
      <w:pPr>
        <w:pBdr>
          <w:bottom w:val="single" w:color="1F4E79" w:sz="8" w:space="2"/>
        </w:pBdr>
        <w:spacing w:after="40" w:before="100"/>
      </w:pPr>
      <w:r>
        <w:rPr>
          <w:rFonts w:ascii="Calibri" w:cs="Calibri" w:eastAsia="Calibri" w:hAnsi="Calibri"/>
          <w:b/>
          <w:bCs/>
          <w:color w:val="1F4E79"/>
          <w:spacing w:val="20"/>
          <w:sz w:val="22"/>
          <w:szCs w:val="22"/>
        </w:rPr>
        <w:t xml:space="preserve">PROFESSIONAL EXPERIENCE</w:t>
      </w:r>
    </w:p>
    <w:p>
      <w:pPr>
        <w:tabs>
          <w:tab w:val="right" w:pos="10080"/>
        </w:tabs>
        <w:spacing w:after="0" w:before="11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Quant</w:t>
      </w:r>
      <w:r>
        <w:rPr>
          <w:rFonts w:ascii="Calibri" w:cs="Calibri" w:eastAsia="Calibri" w:hAnsi="Calibri"/>
          <w:color w:val="404040"/>
          <w:sz w:val="20"/>
          <w:szCs w:val="20"/>
        </w:rPr>
        <w:t xml:space="preserve">	Nov 2025 – Jan 2026</w:t>
      </w:r>
    </w:p>
    <w:p>
      <w:pPr>
        <w:tabs>
          <w:tab w:val="right" w:pos="10080"/>
        </w:tabs>
        <w:spacing w:after="60" w:before="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Vice President, Business Solutions — GTM, Customer Strategy &amp; AI Solutioning</w:t>
      </w:r>
      <w:r>
        <w:rPr>
          <w:rFonts w:ascii="Calibri" w:cs="Calibri" w:eastAsia="Calibri" w:hAnsi="Calibri"/>
          <w:i/>
          <w:iCs/>
          <w:color w:val="606060"/>
          <w:sz w:val="19"/>
          <w:szCs w:val="19"/>
        </w:rPr>
        <w:t xml:space="preserve">	Remote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Led enterprise solution architecture and customer-facing technical alignment across Sales, Product, and Delivery for an agentic AI platform serving complex enterprise accounts — discovery, architecture, ROI narrative, risk controls, operational KPIs, delivery plan.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Designed end-to-end telephony integration architecture: Genesys Cloud → agentic AI infrastructure via LiveKit SIP for enterprise customer engagement.</w:t>
      </w:r>
    </w:p>
    <w:p>
      <w:pPr>
        <w:tabs>
          <w:tab w:val="right" w:pos="10080"/>
        </w:tabs>
        <w:spacing w:after="0" w:before="11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SoundHound AI / Amelia (formerly IPsoft Amelia)</w:t>
      </w:r>
      <w:r>
        <w:rPr>
          <w:rFonts w:ascii="Calibri" w:cs="Calibri" w:eastAsia="Calibri" w:hAnsi="Calibri"/>
          <w:color w:val="404040"/>
          <w:sz w:val="20"/>
          <w:szCs w:val="20"/>
        </w:rPr>
        <w:t xml:space="preserve">	Apr 2019 – Oct 2025</w:t>
      </w:r>
    </w:p>
    <w:p>
      <w:pPr>
        <w:tabs>
          <w:tab w:val="right" w:pos="10080"/>
        </w:tabs>
        <w:spacing w:after="60" w:before="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Senior Director, AI for Enterprise &amp; Global Solution Architecture</w:t>
      </w:r>
      <w:r>
        <w:rPr>
          <w:rFonts w:ascii="Calibri" w:cs="Calibri" w:eastAsia="Calibri" w:hAnsi="Calibri"/>
          <w:i/>
          <w:iCs/>
          <w:color w:val="606060"/>
          <w:sz w:val="19"/>
          <w:szCs w:val="19"/>
        </w:rPr>
        <w:t xml:space="preserve">	Austin, TX / Remote</w:t>
      </w:r>
    </w:p>
    <w:p>
      <w:pPr>
        <w:spacing w:after="15" w:before="60"/>
      </w:pPr>
      <w:r>
        <w:rPr>
          <w:rFonts w:ascii="Calibri" w:cs="Calibri" w:eastAsia="Calibri" w:hAnsi="Calibri"/>
          <w:b/>
          <w:bCs/>
          <w:i/>
          <w:iCs/>
          <w:color w:val="1F4E79"/>
          <w:sz w:val="20"/>
          <w:szCs w:val="20"/>
        </w:rPr>
        <w:t xml:space="preserve">Healthcare Practice Build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Principal solution architect for Amelia's healthcare practice</w:t>
      </w:r>
      <w:r>
        <w:rPr>
          <w:rFonts w:ascii="Calibri" w:cs="Calibri" w:eastAsia="Calibri" w:hAnsi="Calibri"/>
          <w:sz w:val="20"/>
          <w:szCs w:val="20"/>
        </w:rPr>
        <w:t xml:space="preserve"> — partnered with the AVP, Healthcare on GTM across payer, provider/IDN, DSO/specialty, vision, home health, RCM, and digital health.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Closed:</w:t>
      </w:r>
      <w:r>
        <w:rPr>
          <w:rFonts w:ascii="Calibri" w:cs="Calibri" w:eastAsia="Calibri" w:hAnsi="Calibri"/>
          <w:sz w:val="20"/>
          <w:szCs w:val="20"/>
        </w:rPr>
        <w:t xml:space="preserve"> UMiami Health (first intentional healthcare customer, co-sold) and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$17M Visionworks</w:t>
      </w:r>
      <w:r>
        <w:rPr>
          <w:rFonts w:ascii="Calibri" w:cs="Calibri" w:eastAsia="Calibri" w:hAnsi="Calibri"/>
          <w:sz w:val="20"/>
          <w:szCs w:val="20"/>
        </w:rPr>
        <w:t xml:space="preserve"> (blueprint replicated across DSO/specialty and vision); paid engagements at Aspen Dental (TAG), Coast Dental, Eyefinity, VSP, Wellstar, Allina, Willis-Knighton, Manitoba Blue Cross, Aveanna, Modivcare, CareNow, McKesson, Alpha Labs.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Pursuits:</w:t>
      </w:r>
      <w:r>
        <w:rPr>
          <w:rFonts w:ascii="Calibri" w:cs="Calibri" w:eastAsia="Calibri" w:hAnsi="Calibri"/>
          <w:sz w:val="20"/>
          <w:szCs w:val="20"/>
        </w:rPr>
        <w:t xml:space="preserve"> HCA, Sutter, Ochsner, Optum, Isabel Healthcare, UpHealth.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Led Epic, Cerner, Meditech integration engagements — FHIR + HL7-mediated clinical and administrative context for voice and digital workflows; HIPAA/HITECH compliance design end-to-end.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Partnered with CIO, CMIO, CXO leadership across patient access, intake, appointment scheduling, waitlist recovery, no-show recapture, prior authorization, post-visit collections, and post-discharge workflows.</w:t>
      </w:r>
    </w:p>
    <w:p>
      <w:pPr>
        <w:spacing w:after="15" w:before="60"/>
      </w:pPr>
      <w:r>
        <w:rPr>
          <w:rFonts w:ascii="Calibri" w:cs="Calibri" w:eastAsia="Calibri" w:hAnsi="Calibri"/>
          <w:b/>
          <w:bCs/>
          <w:i/>
          <w:iCs/>
          <w:color w:val="1F4E79"/>
          <w:sz w:val="20"/>
          <w:szCs w:val="20"/>
        </w:rPr>
        <w:t xml:space="preserve">Global Practice Building &amp; Leadership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Promoted Implementation Engineer → Senior Director (four roles). As Director, founded NASA (North America Solution Architects) — scaling 3 → 10 engineers and establishing the brand, culture, and operating cadence.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As Sr. Director, evolved NASA into the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Network of Amelia Solution Architects</w:t>
      </w:r>
      <w:r>
        <w:rPr>
          <w:rFonts w:ascii="Calibri" w:cs="Calibri" w:eastAsia="Calibri" w:hAnsi="Calibri"/>
          <w:sz w:val="20"/>
          <w:szCs w:val="20"/>
        </w:rPr>
        <w:t xml:space="preserve"> — ~50 engineers across four post-acquisition BUs (Enterprise, Restaurants, Automotive, Smart Answering) spanning NA, EMEA, APAC, LATAM. Designed the SE operating model end-to-end (hiring, enablement, certification, CoPs, utilization).</w:t>
      </w:r>
    </w:p>
    <w:p>
      <w:pPr>
        <w:spacing w:after="15" w:before="60"/>
      </w:pPr>
      <w:r>
        <w:rPr>
          <w:rFonts w:ascii="Calibri" w:cs="Calibri" w:eastAsia="Calibri" w:hAnsi="Calibri"/>
          <w:b/>
          <w:bCs/>
          <w:i/>
          <w:iCs/>
          <w:color w:val="1F4E79"/>
          <w:sz w:val="20"/>
          <w:szCs w:val="20"/>
        </w:rPr>
        <w:t xml:space="preserve">Revenue Impact &amp; Enterprise Deployment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$50M+ closed enterprise AI deals</w:t>
      </w:r>
      <w:r>
        <w:rPr>
          <w:rFonts w:ascii="Calibri" w:cs="Calibri" w:eastAsia="Calibri" w:hAnsi="Calibri"/>
          <w:sz w:val="20"/>
          <w:szCs w:val="20"/>
        </w:rPr>
        <w:t xml:space="preserve"> — $17M Visionworks, $9M competitive displacement (SoCal Edison), $6.25M Chipotle; material contribution at UMiami Health, Wellstar, and Thomson Reuters; principal solutioning on enterprise pursuits at HCA, Sutter, Ochsner, Optum. Led 100+ production deployments across Genesys, NICE, Five9, AWS Connect, custom SIP, EHR, CRM, ITSM, and backend API integrations.</w:t>
      </w:r>
    </w:p>
    <w:p>
      <w:pPr>
        <w:spacing w:after="15" w:before="60"/>
      </w:pPr>
      <w:r>
        <w:rPr>
          <w:rFonts w:ascii="Calibri" w:cs="Calibri" w:eastAsia="Calibri" w:hAnsi="Calibri"/>
          <w:b/>
          <w:bCs/>
          <w:i/>
          <w:iCs/>
          <w:color w:val="1F4E79"/>
          <w:sz w:val="20"/>
          <w:szCs w:val="20"/>
        </w:rPr>
        <w:t xml:space="preserve">Frameworks, Centers of Excellence &amp; Authorship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Delivered three 2025 analyst placements end-to-end (pipeline, briefings, demos): </w:t>
      </w:r>
      <w:hyperlink w:history="1" r:id="rIdqxezbpaa69o-0cr1xpcnu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Everest Group PEAK Matrix Leader</w:t>
        </w:r>
      </w:hyperlink>
      <w:r>
        <w:rPr>
          <w:rFonts w:ascii="Calibri" w:cs="Calibri" w:eastAsia="Calibri" w:hAnsi="Calibri"/>
          <w:sz w:val="20"/>
          <w:szCs w:val="20"/>
        </w:rPr>
        <w:t xml:space="preserve">; </w:t>
      </w:r>
      <w:hyperlink w:history="1" r:id="rId3m1au-rylaf6yldantxhf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IDC MarketScape Leader</w:t>
        </w:r>
      </w:hyperlink>
      <w:r>
        <w:rPr>
          <w:rFonts w:ascii="Calibri" w:cs="Calibri" w:eastAsia="Calibri" w:hAnsi="Calibri"/>
          <w:sz w:val="20"/>
          <w:szCs w:val="20"/>
        </w:rPr>
        <w:t xml:space="preserve">; </w:t>
      </w:r>
      <w:hyperlink w:history="1" r:id="rIdakhwzzfdesw7otnpdqcjv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Gartner Magic Quadrant™ Visionary</w:t>
        </w:r>
      </w:hyperlink>
      <w:r>
        <w:rPr>
          <w:rFonts w:ascii="Calibri" w:cs="Calibri" w:eastAsia="Calibri" w:hAnsi="Calibri"/>
          <w:sz w:val="20"/>
          <w:szCs w:val="20"/>
        </w:rPr>
        <w:t xml:space="preserve"> in Conversational AI.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Authored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Architecting Certainty: The Definitive Guide to the High-Stakes Product Demonstration</w:t>
      </w:r>
      <w:r>
        <w:rPr>
          <w:rFonts w:ascii="Calibri" w:cs="Calibri" w:eastAsia="Calibri" w:hAnsi="Calibri"/>
          <w:sz w:val="20"/>
          <w:szCs w:val="20"/>
        </w:rPr>
        <w:t xml:space="preserve"> — demo philosophy and presenter playbook (Hero's Journey narrative + eight-pillar framework) operationalizing the Golden Demo Library, POC governance, and analyst-briefing posture across the global SE/SA practice.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Architected a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Domain Intelligence Schema (DIS)–seeded demo generation system</w:t>
      </w:r>
      <w:r>
        <w:rPr>
          <w:rFonts w:ascii="Calibri" w:cs="Calibri" w:eastAsia="Calibri" w:hAnsi="Calibri"/>
          <w:sz w:val="20"/>
          <w:szCs w:val="20"/>
        </w:rPr>
        <w:t xml:space="preserve"> — converted discovery inputs (vertical, persona, use case) into runnable agent demos and presenter narratives, compressing time-to-demo from weeks to days.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Authored a 50+ page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Presales Transformation Roadmap</w:t>
      </w:r>
      <w:r>
        <w:rPr>
          <w:rFonts w:ascii="Calibri" w:cs="Calibri" w:eastAsia="Calibri" w:hAnsi="Calibri"/>
          <w:sz w:val="20"/>
          <w:szCs w:val="20"/>
        </w:rPr>
        <w:t xml:space="preserve"> — full-lifecycle operating model (intake → discovery → demo → scoping → SOW → handoff → POC → sandbox → RFX) with build/buy decisioning per stage and 3-year projected ROI.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Built POC governance and evaluation framework —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38% POC win rate, 114% sales win conversion lift</w:t>
      </w:r>
      <w:r>
        <w:rPr>
          <w:rFonts w:ascii="Calibri" w:cs="Calibri" w:eastAsia="Calibri" w:hAnsi="Calibri"/>
          <w:sz w:val="20"/>
          <w:szCs w:val="20"/>
        </w:rPr>
        <w:t xml:space="preserve">; Golden Demo Library with automated provisioning (40+ hrs/quarter SE prep saved). Architected APEX Automation Center of Excellence.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Authored Amelia's regulatory compliance reference guide (HIPAA/HITECH, GDPR, EU AI Act, ISO/IEC 42001, NIST AI RMF, BIPA, COAIA + 20 frameworks), the </w:t>
      </w:r>
      <w:hyperlink w:history="1" r:id="rIdqzrwp0wnuni7z1jevkuzz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flagship product demonstration</w:t>
        </w:r>
      </w:hyperlink>
      <w:r>
        <w:rPr>
          <w:rFonts w:ascii="Calibri" w:cs="Calibri" w:eastAsia="Calibri" w:hAnsi="Calibri"/>
          <w:sz w:val="20"/>
          <w:szCs w:val="20"/>
        </w:rPr>
        <w:t xml:space="preserve"> on SoundHound's Amelia product page, and </w:t>
      </w:r>
      <w:hyperlink w:history="1" r:id="rIdlavbkkhmeuf9ybc_avbjz">
        <w:r>
          <w:rPr>
            <w:rFonts w:ascii="Calibri" w:cs="Calibri" w:eastAsia="Calibri" w:hAnsi="Calibri"/>
            <w:color w:val="1F4E79"/>
            <w:sz w:val="20"/>
            <w:szCs w:val="20"/>
            <w:u w:val="single"/>
          </w:rPr>
          <w:t xml:space="preserve">"How Amelia 7's Agentic Framework Unlocks Flexible Automation"</w:t>
        </w:r>
      </w:hyperlink>
      <w:r>
        <w:rPr>
          <w:rFonts w:ascii="Calibri" w:cs="Calibri" w:eastAsia="Calibri" w:hAnsi="Calibri"/>
          <w:sz w:val="20"/>
          <w:szCs w:val="20"/>
        </w:rPr>
        <w:t xml:space="preserve"> on the SoundHound voice AI blog.</w:t>
      </w:r>
    </w:p>
    <w:p>
      <w:pPr>
        <w:tabs>
          <w:tab w:val="right" w:pos="10080"/>
        </w:tabs>
        <w:spacing w:after="0" w:before="11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OneSupport (formerly teleNetwork, Inc.)</w:t>
      </w:r>
      <w:r>
        <w:rPr>
          <w:rFonts w:ascii="Calibri" w:cs="Calibri" w:eastAsia="Calibri" w:hAnsi="Calibri"/>
          <w:color w:val="404040"/>
          <w:sz w:val="20"/>
          <w:szCs w:val="20"/>
        </w:rPr>
        <w:t xml:space="preserve">	Feb 2007 – Sep 2018</w:t>
      </w:r>
    </w:p>
    <w:p>
      <w:pPr>
        <w:tabs>
          <w:tab w:val="right" w:pos="10080"/>
        </w:tabs>
        <w:spacing w:after="60" w:before="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Operations Manager — Technical Operations &amp; Automation Builder</w:t>
      </w:r>
      <w:r>
        <w:rPr>
          <w:rFonts w:ascii="Calibri" w:cs="Calibri" w:eastAsia="Calibri" w:hAnsi="Calibri"/>
          <w:i/>
          <w:iCs/>
          <w:color w:val="606060"/>
          <w:sz w:val="19"/>
          <w:szCs w:val="19"/>
        </w:rPr>
        <w:t xml:space="preserve">	Austin, TX</w:t>
      </w:r>
    </w:p>
    <w:p>
      <w:pPr>
        <w:pStyle w:val="ListParagraph"/>
        <w:numPr>
          <w:ilvl w:val="0"/>
          <w:numId w:val="2"/>
        </w:numPr>
        <w:spacing w:after="40" w:before="0" w:line="246"/>
      </w:pPr>
      <w:r>
        <w:rPr>
          <w:rFonts w:ascii="Calibri" w:cs="Calibri" w:eastAsia="Calibri" w:hAnsi="Calibri"/>
          <w:sz w:val="20"/>
          <w:szCs w:val="20"/>
        </w:rPr>
        <w:t xml:space="preserve">Engineered workflow automation platform replacing manual dispatch — productized to SaaS and licensed to Frontier Communications (~$2M ARR). Led 40+ person technical operations team across telecom, broadband, and field service programs; top-decile quality, efficiency, and CSAT.</w:t>
      </w:r>
    </w:p>
    <w:p>
      <w:pPr>
        <w:pBdr>
          <w:bottom w:val="single" w:color="1F4E79" w:sz="8" w:space="2"/>
        </w:pBdr>
        <w:spacing w:after="40" w:before="100"/>
      </w:pPr>
      <w:r>
        <w:rPr>
          <w:rFonts w:ascii="Calibri" w:cs="Calibri" w:eastAsia="Calibri" w:hAnsi="Calibri"/>
          <w:b/>
          <w:bCs/>
          <w:color w:val="1F4E79"/>
          <w:spacing w:val="20"/>
          <w:sz w:val="22"/>
          <w:szCs w:val="22"/>
        </w:rPr>
        <w:t xml:space="preserve">TECHNICAL DEPTH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Healthcare Interop &amp; Compliance: </w:t>
      </w:r>
      <w:r>
        <w:rPr>
          <w:rFonts w:ascii="Calibri" w:cs="Calibri" w:eastAsia="Calibri" w:hAnsi="Calibri"/>
          <w:sz w:val="20"/>
          <w:szCs w:val="20"/>
        </w:rPr>
        <w:t xml:space="preserve">Epic, Cerner, Meditech integration engagements; FHIR (R4, SMART on FHIR); HL7 v2.x; HIPAA/HITECH, 42 CFR Part 2; patient access, scheduling, no-show recapture, prior authorization, post-visit collections, post-discharge workflows.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Voice AI &amp; Agents: </w:t>
      </w:r>
      <w:r>
        <w:rPr>
          <w:rFonts w:ascii="Calibri" w:cs="Calibri" w:eastAsia="Calibri" w:hAnsi="Calibri"/>
          <w:sz w:val="20"/>
          <w:szCs w:val="20"/>
        </w:rPr>
        <w:t xml:space="preserve">Genesys, NICE, Five9, AWS Connect; LiveKit, Twilio, WebRTC, SIP, MRCP; ASR (Deepgram, Whisper), TTS (ElevenLabs); LangGraph/LangChain orchestration; Langfuse/LangSmith; MCP-mediated agent-to-data access patterns; multi-agent orchestration (supervisor, NLU, integration, compliance); RAG; Judge LLM; TensorFlow/PyTorch/BERT classifier training.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Platform, Cloud, Data &amp; Governance: </w:t>
      </w:r>
      <w:r>
        <w:rPr>
          <w:rFonts w:ascii="Calibri" w:cs="Calibri" w:eastAsia="Calibri" w:hAnsi="Calibri"/>
          <w:sz w:val="20"/>
          <w:szCs w:val="20"/>
        </w:rPr>
        <w:t xml:space="preserve">AWS, Azure, GCP, GovCloud; Docker, K3s, GitLab CI/CD, Terraform; Postgres, pgvector, ClickHouse, Neo4j, Redis; Grafana, Prometheus, Loki, Tempo; SOC 2, FedRAMP, DoD IL4, ISO 27001 &amp; 42001, PCI DSS, GDPR, EU AI Act, NIST AI RMF, CCPA/CPRA, BIPA, COAIA; AI accountability frameworks; audit trail architecture.</w:t>
      </w:r>
    </w:p>
    <w:p>
      <w:pPr>
        <w:pBdr>
          <w:bottom w:val="single" w:color="1F4E79" w:sz="8" w:space="2"/>
        </w:pBdr>
        <w:spacing w:after="40" w:before="100"/>
      </w:pPr>
      <w:r>
        <w:rPr>
          <w:rFonts w:ascii="Calibri" w:cs="Calibri" w:eastAsia="Calibri" w:hAnsi="Calibri"/>
          <w:b/>
          <w:bCs/>
          <w:color w:val="1F4E79"/>
          <w:spacing w:val="20"/>
          <w:sz w:val="22"/>
          <w:szCs w:val="22"/>
        </w:rPr>
        <w:t xml:space="preserve">THOUGHT LEADERSHIP &amp; EDUCATION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Conference Speaker: </w:t>
      </w:r>
      <w:r>
        <w:rPr>
          <w:rFonts w:ascii="Calibri" w:cs="Calibri" w:eastAsia="Calibri" w:hAnsi="Calibri"/>
          <w:sz w:val="20"/>
          <w:szCs w:val="20"/>
        </w:rPr>
        <w:t xml:space="preserve">Gartner, Forrester, NVIDIA GTC, HIMSS, CCW; MBA guest lectures.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Analyst Relations: </w:t>
      </w:r>
      <w:r>
        <w:rPr>
          <w:rFonts w:ascii="Calibri" w:cs="Calibri" w:eastAsia="Calibri" w:hAnsi="Calibri"/>
          <w:sz w:val="20"/>
          <w:szCs w:val="20"/>
        </w:rPr>
        <w:t xml:space="preserve">2025 — Everest Group PEAK Matrix Leader; IDC MarketScape Leader; Gartner Magic Quadrant Visionary in Conversational AI.</w:t>
      </w:r>
    </w:p>
    <w:p>
      <w:pPr>
        <w:spacing w:after="4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Published Frameworks: </w:t>
      </w:r>
      <w:r>
        <w:rPr>
          <w:rFonts w:ascii="Calibri" w:cs="Calibri" w:eastAsia="Calibri" w:hAnsi="Calibri"/>
          <w:sz w:val="20"/>
          <w:szCs w:val="20"/>
        </w:rPr>
        <w:t xml:space="preserve">Architecting Certainty (high-stakes demo methodology); Domain Intelligence Schema (semantic agent modeling); Regulatory Compliance Reference Guide for Conversational AI.</w:t>
      </w:r>
    </w:p>
    <w:p>
      <w:pPr>
        <w:spacing w:after="0" w:before="0" w:line="246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Education &amp; Certifications: </w:t>
      </w:r>
      <w:r>
        <w:rPr>
          <w:rFonts w:ascii="Calibri" w:cs="Calibri" w:eastAsia="Calibri" w:hAnsi="Calibri"/>
          <w:sz w:val="20"/>
          <w:szCs w:val="20"/>
        </w:rPr>
        <w:t xml:space="preserve">A.A.S., Computer Networking — ITT Technical Institute (2006); IBM Data Science Professional Certificate; CCNA (prev.).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16" w:hanging="216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nbqvcqvfaqne_xsochgly" Type="http://schemas.openxmlformats.org/officeDocument/2006/relationships/hyperlink" Target="mailto:nwalker85@gmail.com" TargetMode="External"/><Relationship Id="rIdkisgkbtrmsby5-x4konrx" Type="http://schemas.openxmlformats.org/officeDocument/2006/relationships/hyperlink" Target="https://linkedin.com/in/nwalker85" TargetMode="External"/><Relationship Id="rIdqtklbzaq94zmmj9hjeand" Type="http://schemas.openxmlformats.org/officeDocument/2006/relationships/hyperlink" Target="https://github.com/nwalker85" TargetMode="External"/><Relationship Id="rIdbgsgtccrsuv64ubnx91lo" Type="http://schemas.openxmlformats.org/officeDocument/2006/relationships/hyperlink" Target="https://nwalker.cc" TargetMode="External"/><Relationship Id="rIdqxezbpaa69o-0cr1xpcnu" Type="http://schemas.openxmlformats.org/officeDocument/2006/relationships/hyperlink" Target="https://www.soundhound.com/everest-group-peak-matrix-leader-2025/" TargetMode="External"/><Relationship Id="rId3m1au-rylaf6yldantxhf" Type="http://schemas.openxmlformats.org/officeDocument/2006/relationships/hyperlink" Target="https://www.soundhound.com/idc-marketscape-leader-2025/" TargetMode="External"/><Relationship Id="rIdakhwzzfdesw7otnpdqcjv" Type="http://schemas.openxmlformats.org/officeDocument/2006/relationships/hyperlink" Target="https://www.soundhound.com/gartner-magic-quadrant-conversational-ai-2025/" TargetMode="External"/><Relationship Id="rIdqzrwp0wnuni7z1jevkuzz" Type="http://schemas.openxmlformats.org/officeDocument/2006/relationships/hyperlink" Target="https://vimeo.com/1121175640" TargetMode="External"/><Relationship Id="rIdlavbkkhmeuf9ybc_avbjz" Type="http://schemas.openxmlformats.org/officeDocument/2006/relationships/hyperlink" Target="https://www.soundhound.com/voice-ai-blog/how-amelia-7s-agentic-framework-unlocks-flexible-automation/" TargetMode="External"/><Relationship Id="rId16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2026-05-13T19:40:16.790Z</dcterms:created>
  <dcterms:modified xsi:type="dcterms:W3CDTF">2026-05-13T19:40:16.790Z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